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EA" w:rsidRPr="00CF7DBF" w:rsidRDefault="008855EA" w:rsidP="00CF7DBF">
      <w:pPr>
        <w:pStyle w:val="berschrift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center"/>
        <w:rPr>
          <w:rFonts w:ascii="Arial" w:hAnsi="Arial" w:cs="Arial"/>
          <w:sz w:val="20"/>
        </w:rPr>
      </w:pPr>
      <w:r w:rsidRPr="00CF7DBF">
        <w:rPr>
          <w:rFonts w:ascii="Arial" w:hAnsi="Arial" w:cs="Arial"/>
          <w:sz w:val="20"/>
        </w:rPr>
        <w:t xml:space="preserve">Technische und organisatorische Maßnahmen </w:t>
      </w:r>
      <w:proofErr w:type="spellStart"/>
      <w:r w:rsidRPr="00CF7DBF">
        <w:rPr>
          <w:rFonts w:ascii="Arial" w:hAnsi="Arial" w:cs="Arial"/>
          <w:sz w:val="20"/>
        </w:rPr>
        <w:t>i.S.d</w:t>
      </w:r>
      <w:proofErr w:type="spellEnd"/>
      <w:r w:rsidRPr="00CF7DBF">
        <w:rPr>
          <w:rFonts w:ascii="Arial" w:hAnsi="Arial" w:cs="Arial"/>
          <w:sz w:val="20"/>
        </w:rPr>
        <w:t>. § 9 BDSG</w:t>
      </w:r>
      <w:r w:rsidR="00CF7DBF" w:rsidRPr="00CF7DBF">
        <w:rPr>
          <w:rFonts w:ascii="Arial" w:hAnsi="Arial" w:cs="Arial"/>
          <w:sz w:val="20"/>
        </w:rPr>
        <w:t xml:space="preserve"> der</w:t>
      </w:r>
    </w:p>
    <w:p w:rsidR="001C6387" w:rsidRPr="00CF7DBF" w:rsidRDefault="001C6387" w:rsidP="001C6387">
      <w:pPr>
        <w:rPr>
          <w:rFonts w:ascii="Arial" w:hAnsi="Arial" w:cs="Arial"/>
          <w:sz w:val="20"/>
          <w:szCs w:val="20"/>
        </w:rPr>
      </w:pPr>
      <w:r>
        <w:rPr>
          <w:rFonts w:ascii="Arial" w:hAnsi="Arial" w:cs="Arial"/>
          <w:sz w:val="20"/>
          <w:szCs w:val="20"/>
          <w:highlight w:val="yellow"/>
        </w:rPr>
        <w:t>Reise</w:t>
      </w:r>
      <w:r w:rsidR="00736853" w:rsidRPr="00CF7DBF">
        <w:rPr>
          <w:rFonts w:ascii="Arial" w:hAnsi="Arial" w:cs="Arial"/>
          <w:sz w:val="20"/>
          <w:szCs w:val="20"/>
          <w:highlight w:val="yellow"/>
        </w:rPr>
        <w:t xml:space="preserve">büro Mustermann, </w:t>
      </w:r>
      <w:r>
        <w:rPr>
          <w:rFonts w:ascii="Arial" w:hAnsi="Arial" w:cs="Arial"/>
          <w:sz w:val="20"/>
          <w:szCs w:val="20"/>
          <w:highlight w:val="yellow"/>
        </w:rPr>
        <w:br/>
      </w:r>
      <w:r w:rsidR="00736853" w:rsidRPr="00CF7DBF">
        <w:rPr>
          <w:rFonts w:ascii="Arial" w:hAnsi="Arial" w:cs="Arial"/>
          <w:sz w:val="20"/>
          <w:szCs w:val="20"/>
          <w:highlight w:val="yellow"/>
        </w:rPr>
        <w:t>Anschrift</w:t>
      </w:r>
      <w:r>
        <w:rPr>
          <w:rFonts w:ascii="Arial" w:hAnsi="Arial" w:cs="Arial"/>
          <w:sz w:val="20"/>
          <w:szCs w:val="20"/>
        </w:rPr>
        <w:t xml:space="preserve"> </w:t>
      </w:r>
      <w:r>
        <w:rPr>
          <w:rFonts w:ascii="Arial" w:hAnsi="Arial" w:cs="Arial"/>
          <w:sz w:val="20"/>
          <w:szCs w:val="20"/>
        </w:rPr>
        <w:br/>
      </w:r>
      <w:r w:rsidR="00736853" w:rsidRPr="00CF7DBF">
        <w:rPr>
          <w:rFonts w:ascii="Arial" w:hAnsi="Arial" w:cs="Arial"/>
          <w:sz w:val="20"/>
          <w:szCs w:val="20"/>
          <w:highlight w:val="yellow"/>
        </w:rPr>
        <w:t>(Diese Liste bitte durcharbeiten und nach bestem Wissen abhaken bzw. offen lassen)</w:t>
      </w:r>
      <w:r>
        <w:rPr>
          <w:rFonts w:ascii="Arial" w:hAnsi="Arial" w:cs="Arial"/>
          <w:sz w:val="20"/>
          <w:szCs w:val="20"/>
        </w:rPr>
        <w:t xml:space="preserve"> </w:t>
      </w:r>
      <w:r w:rsidR="00736853" w:rsidRPr="00CF7DBF">
        <w:rPr>
          <w:rFonts w:ascii="Arial" w:hAnsi="Arial" w:cs="Arial"/>
          <w:sz w:val="20"/>
          <w:szCs w:val="20"/>
          <w:highlight w:val="yellow"/>
        </w:rPr>
        <w:t>(Was angekreuzt ist, sollte auch tatsächlich vorhanden</w:t>
      </w:r>
      <w:r>
        <w:rPr>
          <w:rFonts w:ascii="Arial" w:hAnsi="Arial" w:cs="Arial"/>
          <w:sz w:val="20"/>
          <w:szCs w:val="20"/>
          <w:highlight w:val="yellow"/>
        </w:rPr>
        <w:t xml:space="preserve"> sein)</w:t>
      </w:r>
    </w:p>
    <w:p w:rsidR="008855EA" w:rsidRPr="00CF7DBF" w:rsidRDefault="008855EA" w:rsidP="008855EA">
      <w:pPr>
        <w:pStyle w:val="berschrift2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567"/>
        <w:rPr>
          <w:rFonts w:ascii="Arial" w:hAnsi="Arial" w:cs="Arial"/>
          <w:sz w:val="20"/>
        </w:rPr>
      </w:pPr>
      <w:r w:rsidRPr="00CF7DBF">
        <w:rPr>
          <w:rFonts w:ascii="Arial" w:hAnsi="Arial" w:cs="Arial"/>
          <w:sz w:val="20"/>
        </w:rPr>
        <w:t>Zutrittskontrolle</w:t>
      </w:r>
    </w:p>
    <w:p w:rsidR="008855EA" w:rsidRPr="00CF7DBF" w:rsidRDefault="008855EA"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hAnsi="Arial" w:cs="Arial"/>
          <w:sz w:val="20"/>
        </w:rPr>
      </w:pPr>
      <w:r w:rsidRPr="00CF7DBF">
        <w:rPr>
          <w:rFonts w:ascii="Arial" w:hAnsi="Arial" w:cs="Arial"/>
          <w:sz w:val="20"/>
        </w:rPr>
        <w:t>Maßnahmen, die geeignet sind, Unbefugten den Zutritt zu Datenverarbeitungsanlagen, mit denen personenbezogene Daten verarbeitet oder genutzt werden, zu verwehren.</w:t>
      </w:r>
    </w:p>
    <w:p w:rsidR="008855EA" w:rsidRPr="00CF7DBF" w:rsidRDefault="008855EA"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hAnsi="Arial" w:cs="Arial"/>
          <w:sz w:val="20"/>
        </w:rPr>
      </w:pPr>
    </w:p>
    <w:tbl>
      <w:tblPr>
        <w:tblW w:w="5000" w:type="pct"/>
        <w:shd w:val="clear" w:color="auto" w:fill="FFFFFF"/>
        <w:tblLook w:val="04A0" w:firstRow="1" w:lastRow="0" w:firstColumn="1" w:lastColumn="0" w:noHBand="0" w:noVBand="1"/>
      </w:tblPr>
      <w:tblGrid>
        <w:gridCol w:w="451"/>
        <w:gridCol w:w="4196"/>
        <w:gridCol w:w="446"/>
        <w:gridCol w:w="4187"/>
      </w:tblGrid>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Alarmanlage</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Absicherung von Gebäudeschächten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Automatisches Zugangskontrollsystem</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Chipkarten-/Transponder-Schließsystem</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Schließsystem mit Codesperre</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Manuelles Schließsystem</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Biometrische Zugangssperren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Videoüberwachung der Zugänge</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Lichtschranken / Bewegungsmelder</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Sicherheitsschlösser</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Schlüsselregelung (Schlüsselausgabe etc.)</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Personenkontrolle beim Pförtner / Empfang</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Protokollierung der Besucher</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Sorgfältige Auswahl von Reinigungspersonal</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Sorgfältige Auswahl von Wachpersonal</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Tragepflicht von Berechtigungsausweisen</w:t>
            </w:r>
          </w:p>
        </w:tc>
      </w:tr>
      <w:tr w:rsidR="001C6387" w:rsidRPr="00CF7DBF" w:rsidTr="008855EA">
        <w:trPr>
          <w:cantSplit/>
          <w:trHeight w:val="220"/>
        </w:trPr>
        <w:tc>
          <w:tcPr>
            <w:tcW w:w="243"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61"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40"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bl>
    <w:p w:rsidR="008855EA" w:rsidRPr="00CF7DBF" w:rsidRDefault="008855EA" w:rsidP="008855EA">
      <w:pPr>
        <w:pStyle w:val="berschrift2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567"/>
        <w:rPr>
          <w:rFonts w:ascii="Arial" w:hAnsi="Arial" w:cs="Arial"/>
          <w:sz w:val="20"/>
        </w:rPr>
      </w:pPr>
      <w:r w:rsidRPr="00CF7DBF">
        <w:rPr>
          <w:rFonts w:ascii="Arial" w:hAnsi="Arial" w:cs="Arial"/>
          <w:sz w:val="20"/>
        </w:rPr>
        <w:t>Zugangskontrolle</w:t>
      </w:r>
    </w:p>
    <w:p w:rsidR="008855EA" w:rsidRPr="00CF7DBF" w:rsidRDefault="008855EA"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hAnsi="Arial" w:cs="Arial"/>
          <w:sz w:val="20"/>
        </w:rPr>
      </w:pPr>
      <w:r w:rsidRPr="00CF7DBF">
        <w:rPr>
          <w:rFonts w:ascii="Arial" w:hAnsi="Arial" w:cs="Arial"/>
          <w:sz w:val="20"/>
        </w:rPr>
        <w:t>Maßnahmen, die geeignet sind zu verhindern, dass Datenverarbeitungssysteme von Unbefugten genutzt werden können.</w:t>
      </w:r>
    </w:p>
    <w:tbl>
      <w:tblPr>
        <w:tblW w:w="5000" w:type="pct"/>
        <w:shd w:val="clear" w:color="auto" w:fill="FFFFFF"/>
        <w:tblLook w:val="04A0" w:firstRow="1" w:lastRow="0" w:firstColumn="1" w:lastColumn="0" w:noHBand="0" w:noVBand="1"/>
      </w:tblPr>
      <w:tblGrid>
        <w:gridCol w:w="451"/>
        <w:gridCol w:w="4196"/>
        <w:gridCol w:w="446"/>
        <w:gridCol w:w="4187"/>
      </w:tblGrid>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Zuordnung von Benutzerrechten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Erstellen von Benutzerprofilen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Passwortvergabe</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Authentifikation mit biometrischen Verfahren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Authentifikation mit Benutzername / Passwort</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Zuordnung von Benutzerprofilen zu IT-Systemen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Gehäuseverriegelungen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Einsatz von VPN-Technologie</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Sperren von externen Schnittstellen (USB etc.)</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Sicherheitsschlösser</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Schlüsselregelung (Schlüsselausgabe etc.)</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Personenkontrolle beim Pförtner / Empfang</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Protokollierung der Besucher</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Sorgfältige Auswahl von Reinigungspersonal</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Sorgfältige Auswahl von Wachpersonal</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Tragepflicht von Berechtigungsausweisen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5B7AE9">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Pr>
                <w:rFonts w:ascii="Arial" w:eastAsia="Zapf Dingbats" w:hAnsi="Arial" w:cs="Arial"/>
                <w:sz w:val="20"/>
                <w:lang w:eastAsia="en-US"/>
              </w:rPr>
              <w:t>Einsatz von Intrusion</w:t>
            </w:r>
            <w:r w:rsidR="008855EA" w:rsidRPr="00CF7DBF">
              <w:rPr>
                <w:rFonts w:ascii="Arial" w:eastAsia="Zapf Dingbats" w:hAnsi="Arial" w:cs="Arial"/>
                <w:sz w:val="20"/>
                <w:lang w:eastAsia="en-US"/>
              </w:rPr>
              <w:t>-</w:t>
            </w:r>
            <w:proofErr w:type="spellStart"/>
            <w:r w:rsidR="008855EA" w:rsidRPr="00CF7DBF">
              <w:rPr>
                <w:rFonts w:ascii="Arial" w:eastAsia="Zapf Dingbats" w:hAnsi="Arial" w:cs="Arial"/>
                <w:sz w:val="20"/>
                <w:lang w:eastAsia="en-US"/>
              </w:rPr>
              <w:t>Detection</w:t>
            </w:r>
            <w:proofErr w:type="spellEnd"/>
            <w:r w:rsidR="008855EA" w:rsidRPr="00CF7DBF">
              <w:rPr>
                <w:rFonts w:ascii="Arial" w:eastAsia="Zapf Dingbats" w:hAnsi="Arial" w:cs="Arial"/>
                <w:sz w:val="20"/>
                <w:lang w:eastAsia="en-US"/>
              </w:rPr>
              <w:t>-Systemen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Verschlüsselung von mobilen Datenträgern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Verschlüsselung von Smartphone-Inhalten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Einsatz von zentraler Smartphone-Administrations-Software (z.B. zum externen Löschen von Daten)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Einsatz von Anti-Viren-Software</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Verschlüsselung von Datenträgern in Laptops / Notebooks</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Einsatz einer Hardware-Firewall</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513E12" w:rsidRPr="00CF7DBF" w:rsidRDefault="008855EA" w:rsidP="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Einsatz einer Software-Firewall</w:t>
            </w:r>
          </w:p>
        </w:tc>
      </w:tr>
      <w:tr w:rsidR="001C6387" w:rsidRPr="00CF7DBF" w:rsidTr="008855EA">
        <w:trPr>
          <w:cantSplit/>
          <w:trHeight w:val="220"/>
        </w:trPr>
        <w:tc>
          <w:tcPr>
            <w:tcW w:w="243"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61"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40"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rsidP="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bl>
    <w:p w:rsidR="008855EA" w:rsidRPr="00CF7DBF" w:rsidRDefault="008855EA" w:rsidP="008855EA">
      <w:pPr>
        <w:pStyle w:val="berschrift2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567"/>
        <w:rPr>
          <w:rFonts w:ascii="Arial" w:hAnsi="Arial" w:cs="Arial"/>
          <w:sz w:val="20"/>
        </w:rPr>
      </w:pPr>
      <w:r w:rsidRPr="00CF7DBF">
        <w:rPr>
          <w:rFonts w:ascii="Arial" w:hAnsi="Arial" w:cs="Arial"/>
          <w:sz w:val="20"/>
        </w:rPr>
        <w:lastRenderedPageBreak/>
        <w:t>Zugriffskontrolle</w:t>
      </w:r>
    </w:p>
    <w:p w:rsidR="008855EA" w:rsidRPr="00CF7DBF" w:rsidRDefault="008855EA"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hAnsi="Arial" w:cs="Arial"/>
          <w:sz w:val="20"/>
        </w:rPr>
      </w:pPr>
      <w:r w:rsidRPr="00CF7DBF">
        <w:rPr>
          <w:rFonts w:ascii="Arial" w:hAnsi="Arial" w:cs="Arial"/>
          <w:sz w:val="20"/>
        </w:rPr>
        <w:t>Maßnahmen, die gewährleisten,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verändert oder entfernt werden können.</w:t>
      </w:r>
    </w:p>
    <w:tbl>
      <w:tblPr>
        <w:tblW w:w="5000" w:type="pct"/>
        <w:shd w:val="clear" w:color="auto" w:fill="FFFFFF"/>
        <w:tblLook w:val="04A0" w:firstRow="1" w:lastRow="0" w:firstColumn="1" w:lastColumn="0" w:noHBand="0" w:noVBand="1"/>
      </w:tblPr>
      <w:tblGrid>
        <w:gridCol w:w="451"/>
        <w:gridCol w:w="4196"/>
        <w:gridCol w:w="446"/>
        <w:gridCol w:w="4187"/>
      </w:tblGrid>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Erstellen eines Berechtigungskonzepts</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Verwaltung der Rechte durch Systemadministrator</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Anzahl der Administratoren auf das „Notwendigste“ reduziert</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Passwortrichtlinie inkl. Passwortlänge, Passwortwechsel</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Protokollierung von Zugriffen auf Anwendungen, insbesondere bei der Eingabe, Änderung und Löschung von Daten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Sichere Aufbewahrung von Datenträgern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physische Löschung von Datenträgern vor Wiederverwendung</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ordnungsgemäße Vernichtung von Datenträgern (DIN 32757)</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Einsatz von Aktenvernichtern bzw. Dienstleistern (nach Möglichkeit mit Datenschutz-Gütesiegel)</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Protokollierung der Vernichtung</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Verschlüsselung von Datenträgern</w:t>
            </w:r>
          </w:p>
        </w:tc>
        <w:tc>
          <w:tcPr>
            <w:tcW w:w="240" w:type="pct"/>
            <w:tcBorders>
              <w:top w:val="nil"/>
              <w:left w:val="nil"/>
              <w:bottom w:val="nil"/>
              <w:right w:val="nil"/>
            </w:tcBorders>
            <w:shd w:val="clear" w:color="auto" w:fill="FFFFFF"/>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r w:rsidR="001C6387" w:rsidRPr="00CF7DBF" w:rsidTr="008855EA">
        <w:trPr>
          <w:cantSplit/>
          <w:trHeight w:val="220"/>
        </w:trPr>
        <w:tc>
          <w:tcPr>
            <w:tcW w:w="243"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61"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40"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bl>
    <w:p w:rsidR="008855EA" w:rsidRPr="00CF7DBF" w:rsidRDefault="008855EA" w:rsidP="008855EA">
      <w:pPr>
        <w:pStyle w:val="berschrift2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567"/>
        <w:rPr>
          <w:rFonts w:ascii="Arial" w:hAnsi="Arial" w:cs="Arial"/>
          <w:sz w:val="20"/>
        </w:rPr>
      </w:pPr>
      <w:proofErr w:type="spellStart"/>
      <w:r w:rsidRPr="00CF7DBF">
        <w:rPr>
          <w:rFonts w:ascii="Arial" w:hAnsi="Arial" w:cs="Arial"/>
          <w:sz w:val="20"/>
        </w:rPr>
        <w:t>Weitergabekontrolle</w:t>
      </w:r>
      <w:proofErr w:type="spellEnd"/>
    </w:p>
    <w:p w:rsidR="008855EA" w:rsidRPr="00CF7DBF" w:rsidRDefault="008855EA"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hAnsi="Arial" w:cs="Arial"/>
          <w:sz w:val="20"/>
        </w:rPr>
      </w:pPr>
      <w:r w:rsidRPr="00CF7DBF">
        <w:rPr>
          <w:rFonts w:ascii="Arial" w:hAnsi="Arial" w:cs="Arial"/>
          <w:sz w:val="20"/>
        </w:rPr>
        <w:t>Maßnahmen, die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w:t>
      </w:r>
    </w:p>
    <w:tbl>
      <w:tblPr>
        <w:tblW w:w="5000" w:type="pct"/>
        <w:shd w:val="clear" w:color="auto" w:fill="FFFFFF"/>
        <w:tblLook w:val="04A0" w:firstRow="1" w:lastRow="0" w:firstColumn="1" w:lastColumn="0" w:noHBand="0" w:noVBand="1"/>
      </w:tblPr>
      <w:tblGrid>
        <w:gridCol w:w="451"/>
        <w:gridCol w:w="4196"/>
        <w:gridCol w:w="446"/>
        <w:gridCol w:w="4187"/>
      </w:tblGrid>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Einrichtungen von Standleitungen bzw. VPN-Tunneln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 xml:space="preserve">Weitergabe von Daten in anonymisierter oder </w:t>
            </w:r>
            <w:proofErr w:type="spellStart"/>
            <w:r w:rsidRPr="00CF7DBF">
              <w:rPr>
                <w:rFonts w:ascii="Arial" w:eastAsia="Zapf Dingbats" w:hAnsi="Arial" w:cs="Arial"/>
                <w:sz w:val="20"/>
                <w:lang w:eastAsia="en-US"/>
              </w:rPr>
              <w:t>pseudonymisierter</w:t>
            </w:r>
            <w:proofErr w:type="spellEnd"/>
            <w:r w:rsidRPr="00CF7DBF">
              <w:rPr>
                <w:rFonts w:ascii="Arial" w:eastAsia="Zapf Dingbats" w:hAnsi="Arial" w:cs="Arial"/>
                <w:sz w:val="20"/>
                <w:lang w:eastAsia="en-US"/>
              </w:rPr>
              <w:t xml:space="preserve"> Form</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E-Mail-Verschlüsselung</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Erstellen einer Übersicht von regelmäßigen</w:t>
            </w:r>
            <w:r w:rsidR="005B7AE9">
              <w:rPr>
                <w:rFonts w:ascii="Arial" w:eastAsia="Zapf Dingbats" w:hAnsi="Arial" w:cs="Arial"/>
                <w:sz w:val="20"/>
                <w:lang w:eastAsia="en-US"/>
              </w:rPr>
              <w:t xml:space="preserve"> </w:t>
            </w:r>
            <w:r w:rsidRPr="00CF7DBF">
              <w:rPr>
                <w:rFonts w:ascii="Arial" w:eastAsia="Zapf Dingbats" w:hAnsi="Arial" w:cs="Arial"/>
                <w:sz w:val="20"/>
                <w:lang w:eastAsia="en-US"/>
              </w:rPr>
              <w:t>Abruf- und Übermittlungsvorgängen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Dokumentation der Empfänger von Daten und der Zeitspannen der geplanten Überlassung bzw. vereinbarter Löschfristen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Beim physischen Transport: sichere Transportbehälter/-verpackungen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rsidP="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Beim physischen Transport: sorgfältige Aus</w:t>
            </w:r>
            <w:r w:rsidR="001C6387">
              <w:rPr>
                <w:rFonts w:ascii="Arial" w:eastAsia="Zapf Dingbats" w:hAnsi="Arial" w:cs="Arial"/>
                <w:sz w:val="20"/>
                <w:lang w:eastAsia="en-US"/>
              </w:rPr>
              <w:t xml:space="preserve">wahl von Transportpersonal und </w:t>
            </w:r>
            <w:proofErr w:type="spellStart"/>
            <w:r w:rsidR="001C6387">
              <w:rPr>
                <w:rFonts w:ascii="Arial" w:eastAsia="Zapf Dingbats" w:hAnsi="Arial" w:cs="Arial"/>
                <w:sz w:val="20"/>
                <w:lang w:eastAsia="en-US"/>
              </w:rPr>
              <w:t>f</w:t>
            </w:r>
            <w:r w:rsidRPr="00CF7DBF">
              <w:rPr>
                <w:rFonts w:ascii="Arial" w:eastAsia="Zapf Dingbats" w:hAnsi="Arial" w:cs="Arial"/>
                <w:sz w:val="20"/>
                <w:lang w:eastAsia="en-US"/>
              </w:rPr>
              <w:t>ahrzeugen</w:t>
            </w:r>
            <w:proofErr w:type="spellEnd"/>
          </w:p>
        </w:tc>
        <w:tc>
          <w:tcPr>
            <w:tcW w:w="240" w:type="pct"/>
            <w:tcBorders>
              <w:top w:val="nil"/>
              <w:left w:val="nil"/>
              <w:bottom w:val="nil"/>
              <w:right w:val="nil"/>
            </w:tcBorders>
            <w:shd w:val="clear" w:color="auto" w:fill="FFFFFF"/>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r w:rsidR="001C6387" w:rsidRPr="00CF7DBF" w:rsidTr="008855EA">
        <w:trPr>
          <w:cantSplit/>
          <w:trHeight w:val="220"/>
        </w:trPr>
        <w:tc>
          <w:tcPr>
            <w:tcW w:w="243"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61"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rsidP="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40"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bl>
    <w:p w:rsidR="008855EA" w:rsidRPr="00CF7DBF" w:rsidRDefault="008855EA" w:rsidP="008855EA">
      <w:pPr>
        <w:pStyle w:val="berschrift2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567"/>
        <w:rPr>
          <w:rFonts w:ascii="Arial" w:hAnsi="Arial" w:cs="Arial"/>
          <w:sz w:val="20"/>
        </w:rPr>
      </w:pPr>
      <w:r w:rsidRPr="00CF7DBF">
        <w:rPr>
          <w:rFonts w:ascii="Arial" w:hAnsi="Arial" w:cs="Arial"/>
          <w:sz w:val="20"/>
        </w:rPr>
        <w:t>Eingabekontrolle</w:t>
      </w:r>
    </w:p>
    <w:p w:rsidR="008855EA" w:rsidRPr="001C6387" w:rsidRDefault="008855EA"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hAnsi="Arial" w:cs="Arial"/>
          <w:sz w:val="20"/>
        </w:rPr>
      </w:pPr>
      <w:r w:rsidRPr="001C6387">
        <w:rPr>
          <w:rFonts w:ascii="Arial" w:hAnsi="Arial" w:cs="Arial"/>
          <w:sz w:val="20"/>
        </w:rPr>
        <w:t>Maßnahmen, die gewährleisten, dass nachträglich überprüft und festgestellt werden kann, ob und von wem personenbezogene Daten in Datenverarbeitungssysteme eingegeben, verändert oder entfernt worden sind.</w:t>
      </w:r>
    </w:p>
    <w:tbl>
      <w:tblPr>
        <w:tblW w:w="5000" w:type="pct"/>
        <w:shd w:val="clear" w:color="auto" w:fill="FFFFFF"/>
        <w:tblLook w:val="04A0" w:firstRow="1" w:lastRow="0" w:firstColumn="1" w:lastColumn="0" w:noHBand="0" w:noVBand="1"/>
      </w:tblPr>
      <w:tblGrid>
        <w:gridCol w:w="451"/>
        <w:gridCol w:w="4196"/>
        <w:gridCol w:w="446"/>
        <w:gridCol w:w="4187"/>
      </w:tblGrid>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Protokollierung der Eingabe, Änderung und Löschung von Daten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Erstellen einer Übersicht, aus der sich ergibt, mit welchen Applikationen welche Daten eingegeben, geändert und gelöscht werden können.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Nachvollziehbarkeit von Eingabe, Änderung und Löschung von Daten durch individuelle Benutzernamen (nicht Benutzergruppen)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Aufbewahrung von Formularen, von denen Daten in automatisierte Verarbeitungen übernommen worden sind</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lastRenderedPageBreak/>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Vergabe von Rechten zur Eingabe, Änderung und Löschung von Daten auf Basis eines Berechtigungskonzepts</w:t>
            </w:r>
          </w:p>
        </w:tc>
        <w:tc>
          <w:tcPr>
            <w:tcW w:w="240" w:type="pct"/>
            <w:tcBorders>
              <w:top w:val="nil"/>
              <w:left w:val="nil"/>
              <w:bottom w:val="nil"/>
              <w:right w:val="nil"/>
            </w:tcBorders>
            <w:shd w:val="clear" w:color="auto" w:fill="FFFFFF"/>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r w:rsidR="001C6387" w:rsidRPr="00CF7DBF" w:rsidTr="008855EA">
        <w:trPr>
          <w:cantSplit/>
          <w:trHeight w:val="220"/>
        </w:trPr>
        <w:tc>
          <w:tcPr>
            <w:tcW w:w="243"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61"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40"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bl>
    <w:p w:rsidR="008855EA" w:rsidRPr="00CF7DBF" w:rsidRDefault="008855EA" w:rsidP="008855EA">
      <w:pPr>
        <w:pStyle w:val="berschrift2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567"/>
        <w:rPr>
          <w:rFonts w:ascii="Arial" w:hAnsi="Arial" w:cs="Arial"/>
          <w:sz w:val="20"/>
        </w:rPr>
      </w:pPr>
      <w:r w:rsidRPr="00CF7DBF">
        <w:rPr>
          <w:rFonts w:ascii="Arial" w:hAnsi="Arial" w:cs="Arial"/>
          <w:sz w:val="20"/>
        </w:rPr>
        <w:t>Auftragskontrolle</w:t>
      </w:r>
    </w:p>
    <w:p w:rsidR="008855EA" w:rsidRPr="001C6387" w:rsidRDefault="008855EA"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hAnsi="Arial" w:cs="Arial"/>
          <w:sz w:val="20"/>
        </w:rPr>
      </w:pPr>
      <w:r w:rsidRPr="001C6387">
        <w:rPr>
          <w:rFonts w:ascii="Arial" w:hAnsi="Arial" w:cs="Arial"/>
          <w:sz w:val="20"/>
        </w:rPr>
        <w:t>Maßnahmen, die gewährleisten, dass personenbezogene Daten, die im Auftrag verarbeitet werden, nur entsprechend den Weisungen des Auftraggebers verarbeitet werden können.</w:t>
      </w:r>
    </w:p>
    <w:tbl>
      <w:tblPr>
        <w:tblW w:w="5000" w:type="pct"/>
        <w:shd w:val="clear" w:color="auto" w:fill="FFFFFF"/>
        <w:tblLook w:val="04A0" w:firstRow="1" w:lastRow="0" w:firstColumn="1" w:lastColumn="0" w:noHBand="0" w:noVBand="1"/>
      </w:tblPr>
      <w:tblGrid>
        <w:gridCol w:w="451"/>
        <w:gridCol w:w="4196"/>
        <w:gridCol w:w="446"/>
        <w:gridCol w:w="4187"/>
      </w:tblGrid>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Auswahl des Auftragnehmers unter Sorgfaltsgesichtspunkten (insbesondere hinsichtlich Datensicherheit)</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vorherige Prüfung der und Dokumentation der beim Auftragnehmer getroffenen Sicherheitsmaßnahmen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5B7AE9"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 xml:space="preserve">schriftliche Weisungen an den Auftragnehmer (z.B. durch Auftragsdatenverarbeitungsvertrag) </w:t>
            </w:r>
          </w:p>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roofErr w:type="spellStart"/>
            <w:r w:rsidRPr="00CF7DBF">
              <w:rPr>
                <w:rFonts w:ascii="Arial" w:eastAsia="Zapf Dingbats" w:hAnsi="Arial" w:cs="Arial"/>
                <w:sz w:val="20"/>
                <w:lang w:eastAsia="en-US"/>
              </w:rPr>
              <w:t>i.S.d</w:t>
            </w:r>
            <w:proofErr w:type="spellEnd"/>
            <w:r w:rsidRPr="00CF7DBF">
              <w:rPr>
                <w:rFonts w:ascii="Arial" w:eastAsia="Zapf Dingbats" w:hAnsi="Arial" w:cs="Arial"/>
                <w:sz w:val="20"/>
                <w:lang w:eastAsia="en-US"/>
              </w:rPr>
              <w:t>. § 11 Abs. 2 BDSG</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5B7AE9"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 xml:space="preserve">Verpflichtung der Mitarbeiter des Auftragnehmers auf das Datengeheimnis </w:t>
            </w:r>
          </w:p>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 5 BDSG)</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Auftragnehmer hat Datenschutzbeauftragten bestellt</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Sicherstellung der Vernichtung von Daten nach Beendigung des Auftrags</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Wirksame Kontrollrechte gegenüber dem Auftragnehmer vereinbart</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laufende Überprüfung des Auftragnehmers und seiner Tätigkeiten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Vertragsstrafen bei Verstößen</w:t>
            </w:r>
          </w:p>
        </w:tc>
        <w:tc>
          <w:tcPr>
            <w:tcW w:w="240" w:type="pct"/>
            <w:tcBorders>
              <w:top w:val="nil"/>
              <w:left w:val="nil"/>
              <w:bottom w:val="nil"/>
              <w:right w:val="nil"/>
            </w:tcBorders>
            <w:shd w:val="clear" w:color="auto" w:fill="FFFFFF"/>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r w:rsidR="001C6387" w:rsidRPr="00CF7DBF" w:rsidTr="008855EA">
        <w:trPr>
          <w:cantSplit/>
          <w:trHeight w:val="220"/>
        </w:trPr>
        <w:tc>
          <w:tcPr>
            <w:tcW w:w="243"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61"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40"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bl>
    <w:p w:rsidR="008855EA" w:rsidRPr="00CF7DBF" w:rsidRDefault="008855EA" w:rsidP="008855EA">
      <w:pPr>
        <w:pStyle w:val="berschrift2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567"/>
        <w:rPr>
          <w:rFonts w:ascii="Arial" w:hAnsi="Arial" w:cs="Arial"/>
          <w:sz w:val="20"/>
        </w:rPr>
      </w:pPr>
      <w:r w:rsidRPr="00CF7DBF">
        <w:rPr>
          <w:rFonts w:ascii="Arial" w:hAnsi="Arial" w:cs="Arial"/>
          <w:sz w:val="20"/>
        </w:rPr>
        <w:t>Verfügbarkeitskontrolle</w:t>
      </w:r>
    </w:p>
    <w:p w:rsidR="008855EA" w:rsidRPr="001C6387" w:rsidRDefault="008855EA"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hAnsi="Arial" w:cs="Arial"/>
          <w:sz w:val="20"/>
        </w:rPr>
      </w:pPr>
      <w:r w:rsidRPr="001C6387">
        <w:rPr>
          <w:rFonts w:ascii="Arial" w:hAnsi="Arial" w:cs="Arial"/>
          <w:sz w:val="20"/>
        </w:rPr>
        <w:t>Maßnahmen, die gewährleisten, dass personenbezogene Daten gegen zufällige Zerstörung oder Verlust geschützt sind.</w:t>
      </w:r>
    </w:p>
    <w:tbl>
      <w:tblPr>
        <w:tblW w:w="5000" w:type="pct"/>
        <w:shd w:val="clear" w:color="auto" w:fill="FFFFFF"/>
        <w:tblLook w:val="04A0" w:firstRow="1" w:lastRow="0" w:firstColumn="1" w:lastColumn="0" w:noHBand="0" w:noVBand="1"/>
      </w:tblPr>
      <w:tblGrid>
        <w:gridCol w:w="451"/>
        <w:gridCol w:w="4196"/>
        <w:gridCol w:w="446"/>
        <w:gridCol w:w="4187"/>
      </w:tblGrid>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Unterbrechungsfreie Stromversorgung (USV)</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Klimaanlage in Serverräumen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Geräte zur Überwachung von Temperatur und Feuchtigkeit in Serverräumen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Schutzsteckdosenleisten in Serverräumen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Feuer- und Rauchmeldeanlagen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Feuerlöschgeräte in Serverräumen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Alarmmeldung bei unberechtigten Zutritten zu Serverräumen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 xml:space="preserve">Erstellen eines Backup- &amp; </w:t>
            </w:r>
            <w:proofErr w:type="spellStart"/>
            <w:r w:rsidRPr="00CF7DBF">
              <w:rPr>
                <w:rFonts w:ascii="Arial" w:eastAsia="Zapf Dingbats" w:hAnsi="Arial" w:cs="Arial"/>
                <w:sz w:val="20"/>
                <w:lang w:eastAsia="en-US"/>
              </w:rPr>
              <w:t>Recoverykonzepts</w:t>
            </w:r>
            <w:proofErr w:type="spellEnd"/>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Testen von Datenwiederherstellung</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Erstellen eines Notfallplans</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Aufbewahrung von Datensicherung an einem sicheren, ausgelagerten Ort</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Serverräume nicht unter sanitären Anlagen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In Hochwassergebieten: Serverräume über der Wassergrenze</w:t>
            </w:r>
          </w:p>
        </w:tc>
        <w:tc>
          <w:tcPr>
            <w:tcW w:w="240" w:type="pct"/>
            <w:tcBorders>
              <w:top w:val="nil"/>
              <w:left w:val="nil"/>
              <w:bottom w:val="nil"/>
              <w:right w:val="nil"/>
            </w:tcBorders>
            <w:shd w:val="clear" w:color="auto" w:fill="FFFFFF"/>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bl>
    <w:p w:rsidR="001C6387" w:rsidRDefault="001C6387">
      <w:r>
        <w:br w:type="page"/>
      </w:r>
    </w:p>
    <w:tbl>
      <w:tblPr>
        <w:tblW w:w="5000" w:type="pct"/>
        <w:shd w:val="clear" w:color="auto" w:fill="FFFFFF"/>
        <w:tblLook w:val="04A0" w:firstRow="1" w:lastRow="0" w:firstColumn="1" w:lastColumn="0" w:noHBand="0" w:noVBand="1"/>
      </w:tblPr>
      <w:tblGrid>
        <w:gridCol w:w="452"/>
        <w:gridCol w:w="4196"/>
        <w:gridCol w:w="445"/>
        <w:gridCol w:w="4187"/>
      </w:tblGrid>
      <w:tr w:rsidR="001C6387" w:rsidRPr="00CF7DBF" w:rsidTr="008855EA">
        <w:trPr>
          <w:cantSplit/>
          <w:trHeight w:val="220"/>
        </w:trPr>
        <w:tc>
          <w:tcPr>
            <w:tcW w:w="243"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61"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40" w:type="pct"/>
            <w:tcBorders>
              <w:top w:val="nil"/>
              <w:left w:val="nil"/>
              <w:bottom w:val="nil"/>
              <w:right w:val="nil"/>
            </w:tcBorders>
            <w:shd w:val="clear" w:color="auto" w:fill="FFFFFF"/>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c>
          <w:tcPr>
            <w:tcW w:w="2256" w:type="pct"/>
            <w:tcBorders>
              <w:top w:val="nil"/>
              <w:left w:val="nil"/>
              <w:bottom w:val="nil"/>
              <w:right w:val="nil"/>
            </w:tcBorders>
            <w:shd w:val="clear" w:color="auto" w:fill="FFFFFF"/>
            <w:tcMar>
              <w:top w:w="100" w:type="dxa"/>
              <w:left w:w="100" w:type="dxa"/>
              <w:bottom w:w="100" w:type="dxa"/>
              <w:right w:w="100" w:type="dxa"/>
            </w:tcMar>
          </w:tcPr>
          <w:p w:rsidR="001C6387" w:rsidRPr="00CF7DBF" w:rsidRDefault="001C6387">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p>
        </w:tc>
      </w:tr>
    </w:tbl>
    <w:p w:rsidR="008855EA" w:rsidRPr="00CF7DBF" w:rsidRDefault="008855EA" w:rsidP="008855EA">
      <w:pPr>
        <w:pStyle w:val="berschrift21"/>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hanging="567"/>
        <w:rPr>
          <w:rFonts w:ascii="Arial" w:hAnsi="Arial" w:cs="Arial"/>
          <w:sz w:val="20"/>
        </w:rPr>
      </w:pPr>
      <w:r w:rsidRPr="00CF7DBF">
        <w:rPr>
          <w:rFonts w:ascii="Arial" w:hAnsi="Arial" w:cs="Arial"/>
          <w:sz w:val="20"/>
        </w:rPr>
        <w:t>Trennungsgebot</w:t>
      </w:r>
    </w:p>
    <w:p w:rsidR="008855EA" w:rsidRPr="001C6387" w:rsidRDefault="008855EA"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hAnsi="Arial" w:cs="Arial"/>
          <w:sz w:val="20"/>
        </w:rPr>
      </w:pPr>
      <w:r w:rsidRPr="001C6387">
        <w:rPr>
          <w:rFonts w:ascii="Arial" w:hAnsi="Arial" w:cs="Arial"/>
          <w:sz w:val="20"/>
        </w:rPr>
        <w:t>Maßnahmen, die gewährleisten, dass zu unterschiedlichen Zwecken erhobene Daten getrennt verarbeitet werden können.</w:t>
      </w:r>
    </w:p>
    <w:tbl>
      <w:tblPr>
        <w:tblW w:w="5000" w:type="pct"/>
        <w:shd w:val="clear" w:color="auto" w:fill="FFFFFF"/>
        <w:tblLook w:val="04A0" w:firstRow="1" w:lastRow="0" w:firstColumn="1" w:lastColumn="0" w:noHBand="0" w:noVBand="1"/>
      </w:tblPr>
      <w:tblGrid>
        <w:gridCol w:w="451"/>
        <w:gridCol w:w="4196"/>
        <w:gridCol w:w="446"/>
        <w:gridCol w:w="4187"/>
      </w:tblGrid>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physikalisch getrennte Speicherung auf gesonderten Systemen oder Datenträgern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Logische Mandantentrennung (softwareseitig)</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Erstellung eines Berechtigungskonzepts</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Verschlüsselung von Datensätzen, die zu demselben Zweck verarbeitet werden</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Versehen der Datensätze mit Zweckattributen/Datenfeldern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 xml:space="preserve">Bei </w:t>
            </w:r>
            <w:proofErr w:type="spellStart"/>
            <w:r w:rsidRPr="00CF7DBF">
              <w:rPr>
                <w:rFonts w:ascii="Arial" w:eastAsia="Zapf Dingbats" w:hAnsi="Arial" w:cs="Arial"/>
                <w:sz w:val="20"/>
                <w:lang w:eastAsia="en-US"/>
              </w:rPr>
              <w:t>pseudonymisierten</w:t>
            </w:r>
            <w:proofErr w:type="spellEnd"/>
            <w:r w:rsidRPr="00CF7DBF">
              <w:rPr>
                <w:rFonts w:ascii="Arial" w:eastAsia="Zapf Dingbats" w:hAnsi="Arial" w:cs="Arial"/>
                <w:sz w:val="20"/>
                <w:lang w:eastAsia="en-US"/>
              </w:rPr>
              <w:t xml:space="preserve"> Daten: Trennung der Zuordnungsdatei und der Aufbewahrung auf einem getrennten, abgesicherten IT-System</w:t>
            </w:r>
          </w:p>
        </w:tc>
      </w:tr>
      <w:tr w:rsidR="008855EA" w:rsidRPr="00CF7DBF" w:rsidTr="008855EA">
        <w:trPr>
          <w:cantSplit/>
          <w:trHeight w:val="220"/>
        </w:trPr>
        <w:tc>
          <w:tcPr>
            <w:tcW w:w="243"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61"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Festlegung von Datenbankrechten</w:t>
            </w:r>
          </w:p>
        </w:tc>
        <w:tc>
          <w:tcPr>
            <w:tcW w:w="240" w:type="pct"/>
            <w:tcBorders>
              <w:top w:val="nil"/>
              <w:left w:val="nil"/>
              <w:bottom w:val="nil"/>
              <w:right w:val="nil"/>
            </w:tcBorders>
            <w:shd w:val="clear" w:color="auto" w:fill="FFFFFF"/>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fldChar w:fldCharType="begin">
                <w:ffData>
                  <w:name w:val="Kontrollkästchen1"/>
                  <w:enabled/>
                  <w:calcOnExit w:val="0"/>
                  <w:checkBox>
                    <w:sizeAuto/>
                    <w:default w:val="0"/>
                    <w:checked w:val="0"/>
                  </w:checkBox>
                </w:ffData>
              </w:fldChar>
            </w:r>
            <w:r w:rsidRPr="00CF7DBF">
              <w:rPr>
                <w:rFonts w:ascii="Arial" w:eastAsia="Zapf Dingbats" w:hAnsi="Arial" w:cs="Arial"/>
                <w:sz w:val="20"/>
                <w:lang w:eastAsia="en-US"/>
              </w:rPr>
              <w:instrText xml:space="preserve"> FORMCHECKBOX </w:instrText>
            </w:r>
            <w:r w:rsidR="004663EF">
              <w:rPr>
                <w:rFonts w:ascii="Arial" w:eastAsia="Zapf Dingbats" w:hAnsi="Arial" w:cs="Arial"/>
                <w:sz w:val="20"/>
                <w:lang w:eastAsia="en-US"/>
              </w:rPr>
            </w:r>
            <w:r w:rsidR="004663EF">
              <w:rPr>
                <w:rFonts w:ascii="Arial" w:eastAsia="Zapf Dingbats" w:hAnsi="Arial" w:cs="Arial"/>
                <w:sz w:val="20"/>
                <w:lang w:eastAsia="en-US"/>
              </w:rPr>
              <w:fldChar w:fldCharType="separate"/>
            </w:r>
            <w:r w:rsidRPr="00CF7DBF">
              <w:rPr>
                <w:rFonts w:ascii="Arial" w:eastAsia="Zapf Dingbats" w:hAnsi="Arial" w:cs="Arial"/>
                <w:sz w:val="20"/>
                <w:lang w:eastAsia="en-US"/>
              </w:rPr>
              <w:fldChar w:fldCharType="end"/>
            </w:r>
          </w:p>
        </w:tc>
        <w:tc>
          <w:tcPr>
            <w:tcW w:w="2256" w:type="pct"/>
            <w:tcBorders>
              <w:top w:val="nil"/>
              <w:left w:val="nil"/>
              <w:bottom w:val="nil"/>
              <w:right w:val="nil"/>
            </w:tcBorders>
            <w:shd w:val="clear" w:color="auto" w:fill="FFFFFF"/>
            <w:tcMar>
              <w:top w:w="100" w:type="dxa"/>
              <w:left w:w="100" w:type="dxa"/>
              <w:bottom w:w="100" w:type="dxa"/>
              <w:right w:w="100" w:type="dxa"/>
            </w:tcMar>
            <w:hideMark/>
          </w:tcPr>
          <w:p w:rsidR="008855EA" w:rsidRPr="00CF7DBF" w:rsidRDefault="008855EA">
            <w:pPr>
              <w:pStyle w:val="T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6" w:lineRule="auto"/>
              <w:rPr>
                <w:rFonts w:ascii="Arial" w:eastAsia="Zapf Dingbats" w:hAnsi="Arial" w:cs="Arial"/>
                <w:sz w:val="20"/>
                <w:lang w:eastAsia="en-US"/>
              </w:rPr>
            </w:pPr>
            <w:r w:rsidRPr="00CF7DBF">
              <w:rPr>
                <w:rFonts w:ascii="Arial" w:eastAsia="Zapf Dingbats" w:hAnsi="Arial" w:cs="Arial"/>
                <w:sz w:val="20"/>
                <w:lang w:eastAsia="en-US"/>
              </w:rPr>
              <w:t>Trennung von Produktiv- und Testsystem</w:t>
            </w:r>
          </w:p>
        </w:tc>
      </w:tr>
    </w:tbl>
    <w:p w:rsidR="008855EA" w:rsidRDefault="008855EA"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p>
    <w:p w:rsidR="001C6387" w:rsidRDefault="001C6387"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p>
    <w:p w:rsidR="001C6387" w:rsidRPr="00CF7DBF" w:rsidRDefault="001C6387" w:rsidP="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w:eastAsia="Times New Roman" w:hAnsi="Arial" w:cs="Arial"/>
          <w:color w:val="auto"/>
          <w:sz w:val="20"/>
          <w:lang w:bidi="x-none"/>
        </w:rPr>
      </w:pPr>
      <w:bookmarkStart w:id="0" w:name="_GoBack"/>
      <w:bookmarkEnd w:id="0"/>
    </w:p>
    <w:tbl>
      <w:tblPr>
        <w:tblW w:w="0" w:type="auto"/>
        <w:tblLook w:val="0600" w:firstRow="0" w:lastRow="0" w:firstColumn="0" w:lastColumn="0" w:noHBand="1" w:noVBand="1"/>
      </w:tblPr>
      <w:tblGrid>
        <w:gridCol w:w="3045"/>
        <w:gridCol w:w="1458"/>
        <w:gridCol w:w="4778"/>
      </w:tblGrid>
      <w:tr w:rsidR="008855EA" w:rsidRPr="005B7AE9" w:rsidTr="008855EA">
        <w:tc>
          <w:tcPr>
            <w:tcW w:w="3045" w:type="dxa"/>
            <w:tcBorders>
              <w:top w:val="nil"/>
              <w:left w:val="nil"/>
              <w:bottom w:val="single" w:sz="4" w:space="0" w:color="000000"/>
              <w:right w:val="nil"/>
            </w:tcBorders>
            <w:hideMark/>
          </w:tcPr>
          <w:p w:rsidR="008855EA" w:rsidRPr="005B7AE9" w:rsidRDefault="008855EA" w:rsidP="00192CF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145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4778" w:type="dxa"/>
            <w:tcBorders>
              <w:top w:val="nil"/>
              <w:left w:val="nil"/>
              <w:bottom w:val="single" w:sz="4" w:space="0" w:color="000000"/>
              <w:right w:val="nil"/>
            </w:tcBorders>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r>
      <w:tr w:rsidR="008855EA" w:rsidRPr="005B7AE9" w:rsidTr="008855EA">
        <w:tc>
          <w:tcPr>
            <w:tcW w:w="3045" w:type="dxa"/>
            <w:tcBorders>
              <w:top w:val="single" w:sz="4" w:space="0" w:color="000000"/>
              <w:left w:val="nil"/>
              <w:bottom w:val="nil"/>
              <w:right w:val="nil"/>
            </w:tcBorders>
            <w:hideMark/>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r w:rsidRPr="005B7AE9">
              <w:rPr>
                <w:rFonts w:ascii="Arial" w:eastAsia="Times New Roman" w:hAnsi="Arial" w:cs="Arial"/>
                <w:color w:val="auto"/>
                <w:sz w:val="20"/>
                <w:highlight w:val="yellow"/>
                <w:lang w:eastAsia="en-US" w:bidi="x-none"/>
              </w:rPr>
              <w:t>Datum</w:t>
            </w:r>
          </w:p>
        </w:tc>
        <w:tc>
          <w:tcPr>
            <w:tcW w:w="145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4778" w:type="dxa"/>
            <w:tcBorders>
              <w:top w:val="single" w:sz="4" w:space="0" w:color="000000"/>
              <w:left w:val="nil"/>
              <w:bottom w:val="nil"/>
              <w:right w:val="nil"/>
            </w:tcBorders>
            <w:hideMark/>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r w:rsidRPr="005B7AE9">
              <w:rPr>
                <w:rFonts w:ascii="Arial" w:eastAsia="Times New Roman" w:hAnsi="Arial" w:cs="Arial"/>
                <w:color w:val="auto"/>
                <w:sz w:val="20"/>
                <w:highlight w:val="yellow"/>
                <w:lang w:eastAsia="en-US" w:bidi="x-none"/>
              </w:rPr>
              <w:t>Verantwortlicher für die Erstellung (in Druckbuchstaben)</w:t>
            </w:r>
          </w:p>
        </w:tc>
      </w:tr>
      <w:tr w:rsidR="008855EA" w:rsidRPr="005B7AE9" w:rsidTr="008855EA">
        <w:tc>
          <w:tcPr>
            <w:tcW w:w="3045"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145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477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r>
      <w:tr w:rsidR="008855EA" w:rsidRPr="005B7AE9" w:rsidTr="008855EA">
        <w:tc>
          <w:tcPr>
            <w:tcW w:w="3045"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145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477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r>
      <w:tr w:rsidR="008855EA" w:rsidRPr="005B7AE9" w:rsidTr="008855EA">
        <w:tc>
          <w:tcPr>
            <w:tcW w:w="3045"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145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477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r>
      <w:tr w:rsidR="008855EA" w:rsidRPr="005B7AE9" w:rsidTr="008855EA">
        <w:tc>
          <w:tcPr>
            <w:tcW w:w="3045"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145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477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r>
      <w:tr w:rsidR="008855EA" w:rsidRPr="005B7AE9" w:rsidTr="008855EA">
        <w:tc>
          <w:tcPr>
            <w:tcW w:w="3045"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145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4778" w:type="dxa"/>
            <w:tcBorders>
              <w:top w:val="nil"/>
              <w:left w:val="nil"/>
              <w:bottom w:val="single" w:sz="4" w:space="0" w:color="000000"/>
              <w:right w:val="nil"/>
            </w:tcBorders>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r>
      <w:tr w:rsidR="008855EA" w:rsidRPr="00CF7DBF" w:rsidTr="008855EA">
        <w:tc>
          <w:tcPr>
            <w:tcW w:w="3045"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1458" w:type="dxa"/>
          </w:tcPr>
          <w:p w:rsidR="008855EA" w:rsidRPr="005B7AE9"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highlight w:val="yellow"/>
                <w:lang w:eastAsia="en-US" w:bidi="x-none"/>
              </w:rPr>
            </w:pPr>
          </w:p>
        </w:tc>
        <w:tc>
          <w:tcPr>
            <w:tcW w:w="4778" w:type="dxa"/>
            <w:tcBorders>
              <w:top w:val="single" w:sz="4" w:space="0" w:color="000000"/>
              <w:left w:val="nil"/>
              <w:bottom w:val="nil"/>
              <w:right w:val="nil"/>
            </w:tcBorders>
            <w:hideMark/>
          </w:tcPr>
          <w:p w:rsidR="008855EA" w:rsidRPr="00CF7DBF" w:rsidRDefault="008855E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56" w:lineRule="auto"/>
              <w:rPr>
                <w:rFonts w:ascii="Arial" w:eastAsia="Times New Roman" w:hAnsi="Arial" w:cs="Arial"/>
                <w:color w:val="auto"/>
                <w:sz w:val="20"/>
                <w:lang w:eastAsia="en-US" w:bidi="x-none"/>
              </w:rPr>
            </w:pPr>
            <w:r w:rsidRPr="005B7AE9">
              <w:rPr>
                <w:rFonts w:ascii="Arial" w:eastAsia="Times New Roman" w:hAnsi="Arial" w:cs="Arial"/>
                <w:color w:val="auto"/>
                <w:sz w:val="20"/>
                <w:highlight w:val="yellow"/>
                <w:lang w:eastAsia="en-US" w:bidi="x-none"/>
              </w:rPr>
              <w:t>Unterschrift des Verantwortlichen</w:t>
            </w:r>
          </w:p>
        </w:tc>
      </w:tr>
    </w:tbl>
    <w:p w:rsidR="000A1F5C" w:rsidRPr="00CF7DBF" w:rsidRDefault="000A1F5C" w:rsidP="00CF7DBF">
      <w:pPr>
        <w:pStyle w:val="Text"/>
        <w:rPr>
          <w:rFonts w:ascii="Arial" w:eastAsia="Times New Roman" w:hAnsi="Arial" w:cs="Arial"/>
          <w:color w:val="auto"/>
          <w:sz w:val="20"/>
          <w:lang w:bidi="x-none"/>
        </w:rPr>
      </w:pPr>
    </w:p>
    <w:sectPr w:rsidR="000A1F5C" w:rsidRPr="00CF7DB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18" w:rsidRDefault="00C84F18" w:rsidP="00363F21">
      <w:pPr>
        <w:spacing w:after="0" w:line="240" w:lineRule="auto"/>
      </w:pPr>
      <w:r>
        <w:separator/>
      </w:r>
    </w:p>
  </w:endnote>
  <w:endnote w:type="continuationSeparator" w:id="0">
    <w:p w:rsidR="00C84F18" w:rsidRDefault="00C84F18" w:rsidP="0036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Helvetica Neue">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 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18" w:rsidRDefault="00C84F18" w:rsidP="00363F21">
      <w:pPr>
        <w:spacing w:after="0" w:line="240" w:lineRule="auto"/>
      </w:pPr>
      <w:r>
        <w:separator/>
      </w:r>
    </w:p>
  </w:footnote>
  <w:footnote w:type="continuationSeparator" w:id="0">
    <w:p w:rsidR="00C84F18" w:rsidRDefault="00C84F18" w:rsidP="00363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956745"/>
      <w:docPartObj>
        <w:docPartGallery w:val="Page Numbers (Top of Page)"/>
        <w:docPartUnique/>
      </w:docPartObj>
    </w:sdtPr>
    <w:sdtEndPr/>
    <w:sdtContent>
      <w:p w:rsidR="00CF7DBF" w:rsidRPr="00DB0A97" w:rsidRDefault="00CF7DBF" w:rsidP="00CF7DBF">
        <w:pPr>
          <w:pStyle w:val="Kopfzeile"/>
          <w:rPr>
            <w:rFonts w:ascii="Arial" w:hAnsi="Arial" w:cs="Arial"/>
            <w:i/>
            <w:sz w:val="20"/>
          </w:rPr>
        </w:pPr>
        <w:r w:rsidRPr="00DB0A97">
          <w:rPr>
            <w:rFonts w:ascii="Arial" w:hAnsi="Arial" w:cs="Arial"/>
            <w:i/>
            <w:sz w:val="20"/>
          </w:rPr>
          <w:t>Legende</w:t>
        </w:r>
      </w:p>
      <w:p w:rsidR="00CF7DBF" w:rsidRPr="00DB0A97" w:rsidRDefault="00CF7DBF" w:rsidP="00CF7DBF">
        <w:pPr>
          <w:pStyle w:val="Kopfzeile"/>
          <w:rPr>
            <w:rFonts w:ascii="Arial" w:hAnsi="Arial" w:cs="Arial"/>
            <w:i/>
            <w:sz w:val="2"/>
          </w:rPr>
        </w:pPr>
      </w:p>
      <w:p w:rsidR="00363F21" w:rsidRDefault="00CF7DBF" w:rsidP="00CF7DBF">
        <w:pPr>
          <w:pStyle w:val="Kopfzeile"/>
        </w:pPr>
        <w:r>
          <w:rPr>
            <w:rFonts w:ascii="Arial" w:hAnsi="Arial" w:cs="Arial"/>
            <w:sz w:val="20"/>
            <w:highlight w:val="yellow"/>
          </w:rPr>
          <w:t>gelb</w:t>
        </w:r>
        <w:r w:rsidRPr="007748BE">
          <w:rPr>
            <w:rFonts w:ascii="Arial" w:hAnsi="Arial" w:cs="Arial"/>
            <w:sz w:val="20"/>
            <w:highlight w:val="yellow"/>
          </w:rPr>
          <w:t xml:space="preserve"> markierte Felder</w:t>
        </w:r>
        <w:r>
          <w:rPr>
            <w:rFonts w:ascii="Arial" w:hAnsi="Arial" w:cs="Arial"/>
            <w:sz w:val="20"/>
          </w:rPr>
          <w:t>: müssen angepasst/ausgefüllt werden</w:t>
        </w:r>
      </w:p>
    </w:sdtContent>
  </w:sdt>
  <w:p w:rsidR="00363F21" w:rsidRDefault="00363F2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567"/>
        </w:tabs>
        <w:ind w:left="567" w:firstLine="0"/>
      </w:pPr>
      <w:rPr>
        <w:position w:val="0"/>
      </w:rPr>
    </w:lvl>
    <w:lvl w:ilvl="1">
      <w:start w:val="1"/>
      <w:numFmt w:val="bullet"/>
      <w:lvlText w:val=""/>
      <w:lvlJc w:val="left"/>
      <w:pPr>
        <w:tabs>
          <w:tab w:val="num" w:pos="720"/>
        </w:tabs>
        <w:ind w:left="720" w:firstLine="0"/>
      </w:pPr>
      <w:rPr>
        <w:position w:val="0"/>
      </w:rPr>
    </w:lvl>
    <w:lvl w:ilvl="2">
      <w:start w:val="1"/>
      <w:numFmt w:val="bullet"/>
      <w:lvlText w:val=""/>
      <w:lvlJc w:val="left"/>
      <w:pPr>
        <w:tabs>
          <w:tab w:val="num" w:pos="1440"/>
        </w:tabs>
        <w:ind w:left="1440" w:firstLine="0"/>
      </w:pPr>
      <w:rPr>
        <w:position w:val="0"/>
      </w:rPr>
    </w:lvl>
    <w:lvl w:ilvl="3">
      <w:start w:val="1"/>
      <w:numFmt w:val="bullet"/>
      <w:lvlText w:val=""/>
      <w:lvlJc w:val="left"/>
      <w:pPr>
        <w:tabs>
          <w:tab w:val="num" w:pos="2160"/>
        </w:tabs>
        <w:ind w:left="2160" w:firstLine="0"/>
      </w:pPr>
      <w:rPr>
        <w:position w:val="0"/>
      </w:rPr>
    </w:lvl>
    <w:lvl w:ilvl="4">
      <w:start w:val="1"/>
      <w:numFmt w:val="bullet"/>
      <w:lvlText w:val=""/>
      <w:lvlJc w:val="left"/>
      <w:pPr>
        <w:tabs>
          <w:tab w:val="num" w:pos="2880"/>
        </w:tabs>
        <w:ind w:left="2880" w:firstLine="0"/>
      </w:pPr>
      <w:rPr>
        <w:position w:val="0"/>
      </w:rPr>
    </w:lvl>
    <w:lvl w:ilvl="5">
      <w:start w:val="1"/>
      <w:numFmt w:val="bullet"/>
      <w:lvlText w:val=""/>
      <w:lvlJc w:val="left"/>
      <w:pPr>
        <w:tabs>
          <w:tab w:val="num" w:pos="3600"/>
        </w:tabs>
        <w:ind w:left="3600" w:firstLine="0"/>
      </w:pPr>
      <w:rPr>
        <w:position w:val="0"/>
      </w:rPr>
    </w:lvl>
    <w:lvl w:ilvl="6">
      <w:start w:val="1"/>
      <w:numFmt w:val="bullet"/>
      <w:lvlText w:val=""/>
      <w:lvlJc w:val="left"/>
      <w:pPr>
        <w:tabs>
          <w:tab w:val="num" w:pos="4320"/>
        </w:tabs>
        <w:ind w:left="4320" w:firstLine="0"/>
      </w:pPr>
      <w:rPr>
        <w:position w:val="0"/>
      </w:rPr>
    </w:lvl>
    <w:lvl w:ilvl="7">
      <w:start w:val="1"/>
      <w:numFmt w:val="bullet"/>
      <w:lvlText w:val=""/>
      <w:lvlJc w:val="left"/>
      <w:pPr>
        <w:tabs>
          <w:tab w:val="num" w:pos="5040"/>
        </w:tabs>
        <w:ind w:left="5040" w:firstLine="0"/>
      </w:pPr>
      <w:rPr>
        <w:position w:val="0"/>
      </w:rPr>
    </w:lvl>
    <w:lvl w:ilvl="8">
      <w:start w:val="1"/>
      <w:numFmt w:val="bullet"/>
      <w:lvlText w:val=""/>
      <w:lvlJc w:val="left"/>
      <w:pPr>
        <w:tabs>
          <w:tab w:val="num" w:pos="5760"/>
        </w:tabs>
        <w:ind w:left="5760" w:firstLine="0"/>
      </w:pPr>
      <w:rPr>
        <w:position w:val="0"/>
      </w:rPr>
    </w:lvl>
  </w:abstractNum>
  <w:abstractNum w:abstractNumId="1">
    <w:nsid w:val="28551190"/>
    <w:multiLevelType w:val="hybridMultilevel"/>
    <w:tmpl w:val="CA500F94"/>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start w:val="1"/>
      <w:numFmt w:val="bullet"/>
      <w:lvlText w:val=""/>
      <w:lvlJc w:val="left"/>
      <w:pPr>
        <w:ind w:left="3960" w:hanging="360"/>
      </w:pPr>
      <w:rPr>
        <w:rFonts w:ascii="Symbol" w:hAnsi="Symbol" w:hint="default"/>
      </w:rPr>
    </w:lvl>
    <w:lvl w:ilvl="4" w:tplc="04070003">
      <w:start w:val="1"/>
      <w:numFmt w:val="bullet"/>
      <w:lvlText w:val="o"/>
      <w:lvlJc w:val="left"/>
      <w:pPr>
        <w:ind w:left="4680" w:hanging="360"/>
      </w:pPr>
      <w:rPr>
        <w:rFonts w:ascii="Courier New" w:hAnsi="Courier New" w:cs="Courier New" w:hint="default"/>
      </w:rPr>
    </w:lvl>
    <w:lvl w:ilvl="5" w:tplc="04070005">
      <w:start w:val="1"/>
      <w:numFmt w:val="bullet"/>
      <w:lvlText w:val=""/>
      <w:lvlJc w:val="left"/>
      <w:pPr>
        <w:ind w:left="5400" w:hanging="360"/>
      </w:pPr>
      <w:rPr>
        <w:rFonts w:ascii="Wingdings" w:hAnsi="Wingdings" w:hint="default"/>
      </w:rPr>
    </w:lvl>
    <w:lvl w:ilvl="6" w:tplc="04070001">
      <w:start w:val="1"/>
      <w:numFmt w:val="bullet"/>
      <w:lvlText w:val=""/>
      <w:lvlJc w:val="left"/>
      <w:pPr>
        <w:ind w:left="6120" w:hanging="360"/>
      </w:pPr>
      <w:rPr>
        <w:rFonts w:ascii="Symbol" w:hAnsi="Symbol" w:hint="default"/>
      </w:rPr>
    </w:lvl>
    <w:lvl w:ilvl="7" w:tplc="04070003">
      <w:start w:val="1"/>
      <w:numFmt w:val="bullet"/>
      <w:lvlText w:val="o"/>
      <w:lvlJc w:val="left"/>
      <w:pPr>
        <w:ind w:left="6840" w:hanging="360"/>
      </w:pPr>
      <w:rPr>
        <w:rFonts w:ascii="Courier New" w:hAnsi="Courier New" w:cs="Courier New" w:hint="default"/>
      </w:rPr>
    </w:lvl>
    <w:lvl w:ilvl="8" w:tplc="04070005">
      <w:start w:val="1"/>
      <w:numFmt w:val="bullet"/>
      <w:lvlText w:val=""/>
      <w:lvlJc w:val="left"/>
      <w:pPr>
        <w:ind w:left="7560" w:hanging="360"/>
      </w:pPr>
      <w:rPr>
        <w:rFonts w:ascii="Wingdings" w:hAnsi="Wingdings" w:hint="default"/>
      </w:rPr>
    </w:lvl>
  </w:abstractNum>
  <w:abstractNum w:abstractNumId="2">
    <w:nsid w:val="31967453"/>
    <w:multiLevelType w:val="hybridMultilevel"/>
    <w:tmpl w:val="6D0CBF3A"/>
    <w:lvl w:ilvl="0" w:tplc="04070001">
      <w:start w:val="1"/>
      <w:numFmt w:val="bullet"/>
      <w:lvlText w:val=""/>
      <w:lvlJc w:val="left"/>
      <w:pPr>
        <w:ind w:left="2136" w:hanging="360"/>
      </w:pPr>
      <w:rPr>
        <w:rFonts w:ascii="Symbol" w:hAnsi="Symbol" w:hint="default"/>
      </w:rPr>
    </w:lvl>
    <w:lvl w:ilvl="1" w:tplc="04070019">
      <w:start w:val="1"/>
      <w:numFmt w:val="lowerLetter"/>
      <w:lvlText w:val="%2."/>
      <w:lvlJc w:val="left"/>
      <w:pPr>
        <w:ind w:left="2856" w:hanging="360"/>
      </w:pPr>
    </w:lvl>
    <w:lvl w:ilvl="2" w:tplc="0407001B">
      <w:start w:val="1"/>
      <w:numFmt w:val="lowerRoman"/>
      <w:lvlText w:val="%3."/>
      <w:lvlJc w:val="right"/>
      <w:pPr>
        <w:ind w:left="3576" w:hanging="180"/>
      </w:pPr>
    </w:lvl>
    <w:lvl w:ilvl="3" w:tplc="0407000F">
      <w:start w:val="1"/>
      <w:numFmt w:val="decimal"/>
      <w:lvlText w:val="%4."/>
      <w:lvlJc w:val="left"/>
      <w:pPr>
        <w:ind w:left="4296" w:hanging="360"/>
      </w:pPr>
    </w:lvl>
    <w:lvl w:ilvl="4" w:tplc="04070019">
      <w:start w:val="1"/>
      <w:numFmt w:val="lowerLetter"/>
      <w:lvlText w:val="%5."/>
      <w:lvlJc w:val="left"/>
      <w:pPr>
        <w:ind w:left="5016" w:hanging="360"/>
      </w:pPr>
    </w:lvl>
    <w:lvl w:ilvl="5" w:tplc="0407001B">
      <w:start w:val="1"/>
      <w:numFmt w:val="lowerRoman"/>
      <w:lvlText w:val="%6."/>
      <w:lvlJc w:val="right"/>
      <w:pPr>
        <w:ind w:left="5736" w:hanging="180"/>
      </w:pPr>
    </w:lvl>
    <w:lvl w:ilvl="6" w:tplc="0407000F">
      <w:start w:val="1"/>
      <w:numFmt w:val="decimal"/>
      <w:lvlText w:val="%7."/>
      <w:lvlJc w:val="left"/>
      <w:pPr>
        <w:ind w:left="6456" w:hanging="360"/>
      </w:pPr>
    </w:lvl>
    <w:lvl w:ilvl="7" w:tplc="04070019">
      <w:start w:val="1"/>
      <w:numFmt w:val="lowerLetter"/>
      <w:lvlText w:val="%8."/>
      <w:lvlJc w:val="left"/>
      <w:pPr>
        <w:ind w:left="7176" w:hanging="360"/>
      </w:pPr>
    </w:lvl>
    <w:lvl w:ilvl="8" w:tplc="0407001B">
      <w:start w:val="1"/>
      <w:numFmt w:val="lowerRoman"/>
      <w:lvlText w:val="%9."/>
      <w:lvlJc w:val="right"/>
      <w:pPr>
        <w:ind w:left="7896" w:hanging="180"/>
      </w:pPr>
    </w:lvl>
  </w:abstractNum>
  <w:abstractNum w:abstractNumId="3">
    <w:nsid w:val="4BAB22A3"/>
    <w:multiLevelType w:val="hybridMultilevel"/>
    <w:tmpl w:val="55E24B50"/>
    <w:lvl w:ilvl="0" w:tplc="9CC6C654">
      <w:start w:val="1"/>
      <w:numFmt w:val="decimal"/>
      <w:lvlText w:val="%1."/>
      <w:lvlJc w:val="left"/>
      <w:pPr>
        <w:ind w:left="1080" w:hanging="720"/>
      </w:pPr>
      <w:rPr>
        <w:sz w:val="32"/>
        <w:szCs w:val="3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549E794F"/>
    <w:multiLevelType w:val="hybridMultilevel"/>
    <w:tmpl w:val="24923A66"/>
    <w:lvl w:ilvl="0" w:tplc="24CE7F58">
      <w:start w:val="1"/>
      <w:numFmt w:val="lowerLetter"/>
      <w:lvlText w:val="%1)"/>
      <w:lvlJc w:val="left"/>
      <w:pPr>
        <w:ind w:left="1440" w:hanging="360"/>
      </w:pPr>
    </w:lvl>
    <w:lvl w:ilvl="1" w:tplc="04070019">
      <w:start w:val="1"/>
      <w:numFmt w:val="lowerLetter"/>
      <w:lvlText w:val="%2."/>
      <w:lvlJc w:val="left"/>
      <w:pPr>
        <w:ind w:left="2160" w:hanging="360"/>
      </w:pPr>
    </w:lvl>
    <w:lvl w:ilvl="2" w:tplc="04070017">
      <w:start w:val="1"/>
      <w:numFmt w:val="lowerLetter"/>
      <w:lvlText w:val="%3)"/>
      <w:lvlJc w:val="lef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abstractNum w:abstractNumId="5">
    <w:nsid w:val="5D525CA1"/>
    <w:multiLevelType w:val="hybridMultilevel"/>
    <w:tmpl w:val="3DA43838"/>
    <w:lvl w:ilvl="0" w:tplc="42A28B52">
      <w:start w:val="2"/>
      <w:numFmt w:val="bullet"/>
      <w:lvlText w:val="-"/>
      <w:lvlJc w:val="left"/>
      <w:pPr>
        <w:ind w:left="1776" w:hanging="360"/>
      </w:pPr>
      <w:rPr>
        <w:rFonts w:ascii="Verdana" w:eastAsiaTheme="minorHAnsi" w:hAnsi="Verdana" w:cstheme="minorBidi"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6">
    <w:nsid w:val="5D704C08"/>
    <w:multiLevelType w:val="hybridMultilevel"/>
    <w:tmpl w:val="401243FA"/>
    <w:lvl w:ilvl="0" w:tplc="04070017">
      <w:start w:val="1"/>
      <w:numFmt w:val="lowerLetter"/>
      <w:lvlText w:val="%1)"/>
      <w:lvlJc w:val="left"/>
      <w:pPr>
        <w:ind w:left="2136" w:hanging="360"/>
      </w:p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7">
    <w:nsid w:val="645440DC"/>
    <w:multiLevelType w:val="hybridMultilevel"/>
    <w:tmpl w:val="EB42F754"/>
    <w:lvl w:ilvl="0" w:tplc="24CE7F58">
      <w:start w:val="1"/>
      <w:numFmt w:val="lowerLetter"/>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EA"/>
    <w:rsid w:val="000A1F5C"/>
    <w:rsid w:val="000A2774"/>
    <w:rsid w:val="000C07EF"/>
    <w:rsid w:val="001001BF"/>
    <w:rsid w:val="00137B26"/>
    <w:rsid w:val="00192CFE"/>
    <w:rsid w:val="001C6387"/>
    <w:rsid w:val="00222520"/>
    <w:rsid w:val="00311671"/>
    <w:rsid w:val="00327C56"/>
    <w:rsid w:val="00363F21"/>
    <w:rsid w:val="004343B2"/>
    <w:rsid w:val="00436073"/>
    <w:rsid w:val="00442BBE"/>
    <w:rsid w:val="004663EF"/>
    <w:rsid w:val="00493C84"/>
    <w:rsid w:val="00513E12"/>
    <w:rsid w:val="0057784F"/>
    <w:rsid w:val="005B7AE9"/>
    <w:rsid w:val="00736853"/>
    <w:rsid w:val="008855EA"/>
    <w:rsid w:val="009908F9"/>
    <w:rsid w:val="009D0759"/>
    <w:rsid w:val="00A66C26"/>
    <w:rsid w:val="00A7572E"/>
    <w:rsid w:val="00A97742"/>
    <w:rsid w:val="00B47E1E"/>
    <w:rsid w:val="00BC146A"/>
    <w:rsid w:val="00C369F7"/>
    <w:rsid w:val="00C45690"/>
    <w:rsid w:val="00C84F18"/>
    <w:rsid w:val="00CA5455"/>
    <w:rsid w:val="00CF7DBF"/>
    <w:rsid w:val="00F53F2C"/>
    <w:rsid w:val="00F57FE2"/>
    <w:rsid w:val="00F60144"/>
    <w:rsid w:val="00F97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5EA"/>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55EA"/>
    <w:rPr>
      <w:color w:val="0000FF" w:themeColor="hyperlink"/>
      <w:u w:val="single"/>
    </w:rPr>
  </w:style>
  <w:style w:type="paragraph" w:styleId="Listenabsatz">
    <w:name w:val="List Paragraph"/>
    <w:basedOn w:val="Standard"/>
    <w:uiPriority w:val="34"/>
    <w:qFormat/>
    <w:rsid w:val="008855EA"/>
    <w:pPr>
      <w:ind w:left="720"/>
      <w:contextualSpacing/>
    </w:pPr>
  </w:style>
  <w:style w:type="paragraph" w:customStyle="1" w:styleId="Text">
    <w:name w:val="Text"/>
    <w:rsid w:val="008855EA"/>
    <w:pPr>
      <w:spacing w:after="0" w:line="240" w:lineRule="auto"/>
    </w:pPr>
    <w:rPr>
      <w:rFonts w:ascii="Helvetica" w:eastAsia="ヒラギノ角ゴ Pro W3" w:hAnsi="Helvetica" w:cs="Times New Roman"/>
      <w:color w:val="000000"/>
      <w:sz w:val="24"/>
      <w:szCs w:val="20"/>
      <w:lang w:eastAsia="de-DE"/>
    </w:rPr>
  </w:style>
  <w:style w:type="paragraph" w:customStyle="1" w:styleId="berschrift11">
    <w:name w:val="Überschrift 11"/>
    <w:next w:val="Text"/>
    <w:rsid w:val="008855EA"/>
    <w:pPr>
      <w:keepNext/>
      <w:spacing w:after="0" w:line="240" w:lineRule="auto"/>
      <w:outlineLvl w:val="0"/>
    </w:pPr>
    <w:rPr>
      <w:rFonts w:ascii="Helvetica Neue" w:eastAsia="ヒラギノ角ゴ Pro W3" w:hAnsi="Helvetica Neue" w:cs="Times New Roman"/>
      <w:b/>
      <w:color w:val="000000"/>
      <w:sz w:val="30"/>
      <w:szCs w:val="20"/>
      <w:lang w:eastAsia="de-DE"/>
    </w:rPr>
  </w:style>
  <w:style w:type="paragraph" w:customStyle="1" w:styleId="berschrift21">
    <w:name w:val="Überschrift 21"/>
    <w:next w:val="Text"/>
    <w:rsid w:val="008855EA"/>
    <w:pPr>
      <w:keepNext/>
      <w:spacing w:after="0" w:line="240" w:lineRule="auto"/>
      <w:outlineLvl w:val="1"/>
    </w:pPr>
    <w:rPr>
      <w:rFonts w:ascii="Helvetica Neue" w:eastAsia="ヒラギノ角ゴ Pro W3" w:hAnsi="Helvetica Neue" w:cs="Times New Roman"/>
      <w:b/>
      <w:color w:val="000000"/>
      <w:sz w:val="24"/>
      <w:szCs w:val="20"/>
      <w:lang w:eastAsia="de-DE"/>
    </w:rPr>
  </w:style>
  <w:style w:type="paragraph" w:styleId="Kopfzeile">
    <w:name w:val="header"/>
    <w:basedOn w:val="Standard"/>
    <w:link w:val="KopfzeileZchn"/>
    <w:uiPriority w:val="99"/>
    <w:unhideWhenUsed/>
    <w:rsid w:val="00363F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3F21"/>
  </w:style>
  <w:style w:type="paragraph" w:styleId="Fuzeile">
    <w:name w:val="footer"/>
    <w:basedOn w:val="Standard"/>
    <w:link w:val="FuzeileZchn"/>
    <w:uiPriority w:val="99"/>
    <w:unhideWhenUsed/>
    <w:rsid w:val="00363F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3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5EA"/>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55EA"/>
    <w:rPr>
      <w:color w:val="0000FF" w:themeColor="hyperlink"/>
      <w:u w:val="single"/>
    </w:rPr>
  </w:style>
  <w:style w:type="paragraph" w:styleId="Listenabsatz">
    <w:name w:val="List Paragraph"/>
    <w:basedOn w:val="Standard"/>
    <w:uiPriority w:val="34"/>
    <w:qFormat/>
    <w:rsid w:val="008855EA"/>
    <w:pPr>
      <w:ind w:left="720"/>
      <w:contextualSpacing/>
    </w:pPr>
  </w:style>
  <w:style w:type="paragraph" w:customStyle="1" w:styleId="Text">
    <w:name w:val="Text"/>
    <w:rsid w:val="008855EA"/>
    <w:pPr>
      <w:spacing w:after="0" w:line="240" w:lineRule="auto"/>
    </w:pPr>
    <w:rPr>
      <w:rFonts w:ascii="Helvetica" w:eastAsia="ヒラギノ角ゴ Pro W3" w:hAnsi="Helvetica" w:cs="Times New Roman"/>
      <w:color w:val="000000"/>
      <w:sz w:val="24"/>
      <w:szCs w:val="20"/>
      <w:lang w:eastAsia="de-DE"/>
    </w:rPr>
  </w:style>
  <w:style w:type="paragraph" w:customStyle="1" w:styleId="berschrift11">
    <w:name w:val="Überschrift 11"/>
    <w:next w:val="Text"/>
    <w:rsid w:val="008855EA"/>
    <w:pPr>
      <w:keepNext/>
      <w:spacing w:after="0" w:line="240" w:lineRule="auto"/>
      <w:outlineLvl w:val="0"/>
    </w:pPr>
    <w:rPr>
      <w:rFonts w:ascii="Helvetica Neue" w:eastAsia="ヒラギノ角ゴ Pro W3" w:hAnsi="Helvetica Neue" w:cs="Times New Roman"/>
      <w:b/>
      <w:color w:val="000000"/>
      <w:sz w:val="30"/>
      <w:szCs w:val="20"/>
      <w:lang w:eastAsia="de-DE"/>
    </w:rPr>
  </w:style>
  <w:style w:type="paragraph" w:customStyle="1" w:styleId="berschrift21">
    <w:name w:val="Überschrift 21"/>
    <w:next w:val="Text"/>
    <w:rsid w:val="008855EA"/>
    <w:pPr>
      <w:keepNext/>
      <w:spacing w:after="0" w:line="240" w:lineRule="auto"/>
      <w:outlineLvl w:val="1"/>
    </w:pPr>
    <w:rPr>
      <w:rFonts w:ascii="Helvetica Neue" w:eastAsia="ヒラギノ角ゴ Pro W3" w:hAnsi="Helvetica Neue" w:cs="Times New Roman"/>
      <w:b/>
      <w:color w:val="000000"/>
      <w:sz w:val="24"/>
      <w:szCs w:val="20"/>
      <w:lang w:eastAsia="de-DE"/>
    </w:rPr>
  </w:style>
  <w:style w:type="paragraph" w:styleId="Kopfzeile">
    <w:name w:val="header"/>
    <w:basedOn w:val="Standard"/>
    <w:link w:val="KopfzeileZchn"/>
    <w:uiPriority w:val="99"/>
    <w:unhideWhenUsed/>
    <w:rsid w:val="00363F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3F21"/>
  </w:style>
  <w:style w:type="paragraph" w:styleId="Fuzeile">
    <w:name w:val="footer"/>
    <w:basedOn w:val="Standard"/>
    <w:link w:val="FuzeileZchn"/>
    <w:uiPriority w:val="99"/>
    <w:unhideWhenUsed/>
    <w:rsid w:val="00363F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3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7615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Schmetterling Reisen GmbH &amp; Co. KG</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dc:creator>
  <cp:lastModifiedBy>Simone Weber</cp:lastModifiedBy>
  <cp:revision>2</cp:revision>
  <cp:lastPrinted>2018-05-14T16:09:00Z</cp:lastPrinted>
  <dcterms:created xsi:type="dcterms:W3CDTF">2018-05-14T16:09:00Z</dcterms:created>
  <dcterms:modified xsi:type="dcterms:W3CDTF">2018-05-14T16:09:00Z</dcterms:modified>
</cp:coreProperties>
</file>